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A2" w:rsidRPr="006224A2" w:rsidRDefault="006224A2" w:rsidP="006224A2">
      <w:pPr>
        <w:jc w:val="center"/>
        <w:rPr>
          <w:rFonts w:ascii="Times" w:eastAsia="Times New Roman" w:hAnsi="Times"/>
          <w:b/>
          <w:sz w:val="20"/>
          <w:szCs w:val="20"/>
        </w:rPr>
      </w:pPr>
      <w:r w:rsidRPr="006224A2">
        <w:rPr>
          <w:rFonts w:ascii="Times" w:eastAsia="Times New Roman" w:hAnsi="Times"/>
          <w:b/>
          <w:sz w:val="20"/>
          <w:szCs w:val="20"/>
        </w:rPr>
        <w:t>En savoir plus sur la date à laquelle se placer pour évaluer le taux d’invalidité au titre du CPMIVG</w:t>
      </w:r>
    </w:p>
    <w:p w:rsidR="006224A2" w:rsidRDefault="006224A2" w:rsidP="006224A2">
      <w:pPr>
        <w:rPr>
          <w:rFonts w:ascii="Times" w:eastAsia="Times New Roman" w:hAnsi="Times"/>
          <w:sz w:val="20"/>
          <w:szCs w:val="20"/>
        </w:rPr>
      </w:pPr>
    </w:p>
    <w:p w:rsidR="006224A2" w:rsidRDefault="006224A2" w:rsidP="006224A2">
      <w:pPr>
        <w:rPr>
          <w:rFonts w:ascii="Times" w:eastAsia="Times New Roman" w:hAnsi="Times"/>
          <w:b/>
          <w:sz w:val="20"/>
          <w:szCs w:val="20"/>
        </w:rPr>
      </w:pPr>
      <w:r w:rsidRPr="006224A2">
        <w:rPr>
          <w:rFonts w:ascii="Times" w:eastAsia="Times New Roman" w:hAnsi="Times"/>
          <w:b/>
          <w:sz w:val="20"/>
          <w:szCs w:val="20"/>
        </w:rPr>
        <w:t>Dans les ouvrages théoriques :</w:t>
      </w:r>
    </w:p>
    <w:p w:rsidR="006224A2" w:rsidRPr="006224A2" w:rsidRDefault="006224A2" w:rsidP="006224A2">
      <w:pPr>
        <w:rPr>
          <w:rFonts w:ascii="Times" w:eastAsia="Times New Roman" w:hAnsi="Times"/>
          <w:b/>
          <w:sz w:val="20"/>
          <w:szCs w:val="20"/>
        </w:rPr>
      </w:pPr>
    </w:p>
    <w:p w:rsidR="006224A2" w:rsidRPr="006224A2" w:rsidRDefault="006224A2" w:rsidP="006224A2">
      <w:pPr>
        <w:rPr>
          <w:rFonts w:ascii="Times" w:eastAsia="Times New Roman" w:hAnsi="Times"/>
          <w:sz w:val="20"/>
          <w:szCs w:val="20"/>
        </w:rPr>
      </w:pPr>
      <w:r w:rsidRPr="006224A2">
        <w:rPr>
          <w:rFonts w:ascii="Times" w:eastAsia="Times New Roman" w:hAnsi="Times"/>
          <w:sz w:val="20"/>
          <w:szCs w:val="20"/>
        </w:rPr>
        <w:t xml:space="preserve">Le DALLOZ rédigé par le Conseiller d’État Paul </w:t>
      </w:r>
      <w:proofErr w:type="spellStart"/>
      <w:r w:rsidRPr="006224A2">
        <w:rPr>
          <w:rFonts w:ascii="Times" w:eastAsia="Times New Roman" w:hAnsi="Times"/>
          <w:sz w:val="20"/>
          <w:szCs w:val="20"/>
        </w:rPr>
        <w:t>Coudurie</w:t>
      </w:r>
      <w:r>
        <w:rPr>
          <w:rFonts w:ascii="Times" w:eastAsia="Times New Roman" w:hAnsi="Times"/>
          <w:sz w:val="20"/>
          <w:szCs w:val="20"/>
        </w:rPr>
        <w:t>r</w:t>
      </w:r>
      <w:proofErr w:type="spellEnd"/>
      <w:r>
        <w:rPr>
          <w:rFonts w:ascii="Times" w:eastAsia="Times New Roman" w:hAnsi="Times"/>
          <w:sz w:val="20"/>
          <w:szCs w:val="20"/>
        </w:rPr>
        <w:t xml:space="preserve"> (non réédité depuis 1976) ne traitait</w:t>
      </w:r>
      <w:r w:rsidRPr="006224A2">
        <w:rPr>
          <w:rFonts w:ascii="Times" w:eastAsia="Times New Roman" w:hAnsi="Times"/>
          <w:sz w:val="20"/>
          <w:szCs w:val="20"/>
        </w:rPr>
        <w:t xml:space="preserve"> clairement </w:t>
      </w:r>
      <w:r>
        <w:rPr>
          <w:rFonts w:ascii="Times" w:eastAsia="Times New Roman" w:hAnsi="Times"/>
          <w:sz w:val="20"/>
          <w:szCs w:val="20"/>
        </w:rPr>
        <w:t xml:space="preserve">de la date à laquelle se placer pour évaluer l’invalidité </w:t>
      </w:r>
      <w:r w:rsidRPr="006224A2">
        <w:rPr>
          <w:rFonts w:ascii="Times" w:eastAsia="Times New Roman" w:hAnsi="Times"/>
          <w:sz w:val="20"/>
          <w:szCs w:val="20"/>
        </w:rPr>
        <w:t>qu’au chapitre consacré aux PMI temporaires (page 93), en ces termes : </w:t>
      </w:r>
    </w:p>
    <w:p w:rsidR="006224A2" w:rsidRPr="006224A2" w:rsidRDefault="006224A2" w:rsidP="006224A2">
      <w:pPr>
        <w:numPr>
          <w:ilvl w:val="0"/>
          <w:numId w:val="2"/>
        </w:numPr>
        <w:pBdr>
          <w:left w:val="single" w:sz="6" w:space="0" w:color="auto"/>
        </w:pBdr>
        <w:spacing w:before="100" w:beforeAutospacing="1" w:after="100" w:afterAutospacing="1"/>
        <w:rPr>
          <w:rFonts w:ascii="Times" w:eastAsia="Times New Roman" w:hAnsi="Times"/>
          <w:i/>
          <w:iCs/>
          <w:sz w:val="20"/>
          <w:szCs w:val="20"/>
        </w:rPr>
      </w:pPr>
      <w:r w:rsidRPr="006224A2">
        <w:rPr>
          <w:rFonts w:ascii="Times" w:eastAsia="Times New Roman" w:hAnsi="Times"/>
          <w:i/>
          <w:iCs/>
          <w:sz w:val="20"/>
          <w:szCs w:val="20"/>
        </w:rPr>
        <w:t xml:space="preserve"> “ Le code a fixé à 3 années la durée de la pension temporaire… A l’occasion de ce renouvellement, tous les éléments constitutifs de la pension doivent être remis en cause… Il ne doit pas y avoir de solution de continuité et la nouvelle période s’ouvre le lendemain de l’expiration de la précédente : c’est à cette date que sera apprécié l’état de l’invalide. Il est indispensable qu’un nouvel examen médical soit pratiqué. Les directives administratives recommandent qu’il y soit procédé dans les six derniers mois de la période précédente. En droit, comme en pratique, il appartient à l’intéressé de faire la preuve de ses droits au début de la nouvelle période en demandant son examen par la commission de réforme… s’il est tardif, l’autorité médicale doit apprécier l’état de l’invalide en début de période”… </w:t>
      </w:r>
    </w:p>
    <w:p w:rsidR="006224A2" w:rsidRPr="006224A2" w:rsidRDefault="006224A2" w:rsidP="006224A2">
      <w:pPr>
        <w:rPr>
          <w:rFonts w:ascii="Times" w:eastAsia="Times New Roman" w:hAnsi="Times"/>
          <w:sz w:val="20"/>
          <w:szCs w:val="20"/>
        </w:rPr>
      </w:pPr>
    </w:p>
    <w:p w:rsidR="006224A2" w:rsidRPr="006224A2" w:rsidRDefault="006224A2" w:rsidP="006224A2">
      <w:pPr>
        <w:rPr>
          <w:rFonts w:ascii="Times" w:eastAsia="Times New Roman" w:hAnsi="Times"/>
          <w:sz w:val="20"/>
          <w:szCs w:val="20"/>
        </w:rPr>
      </w:pPr>
      <w:r w:rsidRPr="006224A2">
        <w:rPr>
          <w:rFonts w:ascii="Times" w:eastAsia="Times New Roman" w:hAnsi="Times"/>
          <w:sz w:val="20"/>
          <w:szCs w:val="20"/>
        </w:rPr>
        <w:t>Dans le “Code annoté” (Andrieu-</w:t>
      </w:r>
      <w:proofErr w:type="spellStart"/>
      <w:r w:rsidRPr="006224A2">
        <w:rPr>
          <w:rFonts w:ascii="Times" w:eastAsia="Times New Roman" w:hAnsi="Times"/>
          <w:sz w:val="20"/>
          <w:szCs w:val="20"/>
        </w:rPr>
        <w:t>Filliol</w:t>
      </w:r>
      <w:proofErr w:type="spellEnd"/>
      <w:r w:rsidRPr="006224A2">
        <w:rPr>
          <w:rFonts w:ascii="Times" w:eastAsia="Times New Roman" w:hAnsi="Times"/>
          <w:sz w:val="20"/>
          <w:szCs w:val="20"/>
        </w:rPr>
        <w:t>, Lacoste, Ducos-Ader et Delvaux), dernière édition de 1992, c’était aussi incomplet, puisque la règle y était exprimée au passé, comme si elle avait changé avec les modifications introduites par la loi n°82-599 du 13/07/1982, alors que les changements n’avaient trait qu’au point de départ du paiement de la pension, c’est à dire la date de son entrée en jouissance :</w:t>
      </w:r>
    </w:p>
    <w:p w:rsidR="006224A2" w:rsidRPr="006224A2" w:rsidRDefault="006224A2" w:rsidP="006224A2">
      <w:pPr>
        <w:rPr>
          <w:rFonts w:ascii="Times" w:eastAsia="Times New Roman" w:hAnsi="Times"/>
          <w:sz w:val="20"/>
          <w:szCs w:val="20"/>
        </w:rPr>
      </w:pPr>
    </w:p>
    <w:p w:rsidR="006224A2" w:rsidRPr="006224A2" w:rsidRDefault="006224A2" w:rsidP="006224A2">
      <w:pPr>
        <w:numPr>
          <w:ilvl w:val="0"/>
          <w:numId w:val="3"/>
        </w:numPr>
        <w:pBdr>
          <w:left w:val="single" w:sz="6" w:space="0" w:color="auto"/>
        </w:pBdr>
        <w:spacing w:before="100" w:beforeAutospacing="1" w:after="100" w:afterAutospacing="1"/>
        <w:rPr>
          <w:rFonts w:ascii="Times" w:eastAsia="Times New Roman" w:hAnsi="Times"/>
          <w:i/>
          <w:iCs/>
          <w:sz w:val="20"/>
          <w:szCs w:val="20"/>
        </w:rPr>
      </w:pPr>
      <w:r w:rsidRPr="006224A2">
        <w:rPr>
          <w:rFonts w:ascii="Times" w:eastAsia="Times New Roman" w:hAnsi="Times"/>
          <w:iCs/>
          <w:sz w:val="20"/>
          <w:szCs w:val="20"/>
        </w:rPr>
        <w:t>Page 75 :</w:t>
      </w:r>
      <w:r w:rsidRPr="006224A2">
        <w:rPr>
          <w:rFonts w:ascii="Times" w:eastAsia="Times New Roman" w:hAnsi="Times"/>
          <w:i/>
          <w:iCs/>
          <w:sz w:val="20"/>
          <w:szCs w:val="20"/>
        </w:rPr>
        <w:t xml:space="preserve"> « Le régime de droit commun situait à la date de la demande le point de départ de la pension. C’était à cette date que le taux d’invalidité devait être apprécié (CE </w:t>
      </w:r>
      <w:proofErr w:type="spellStart"/>
      <w:r w:rsidRPr="006224A2">
        <w:rPr>
          <w:rFonts w:ascii="Times" w:eastAsia="Times New Roman" w:hAnsi="Times"/>
          <w:i/>
          <w:iCs/>
          <w:sz w:val="20"/>
          <w:szCs w:val="20"/>
        </w:rPr>
        <w:t>Desfretière</w:t>
      </w:r>
      <w:proofErr w:type="spellEnd"/>
      <w:r w:rsidRPr="006224A2">
        <w:rPr>
          <w:rFonts w:ascii="Times" w:eastAsia="Times New Roman" w:hAnsi="Times"/>
          <w:i/>
          <w:iCs/>
          <w:sz w:val="20"/>
          <w:szCs w:val="20"/>
        </w:rPr>
        <w:t xml:space="preserve"> n°15238 du 3 novembre 1961), sans tenir compte des modifications survenues dans l’état de l’intéressé, …notamment de son amélioration (C.E. </w:t>
      </w:r>
      <w:proofErr w:type="spellStart"/>
      <w:r w:rsidRPr="006224A2">
        <w:rPr>
          <w:rFonts w:ascii="Times" w:eastAsia="Times New Roman" w:hAnsi="Times"/>
          <w:i/>
          <w:iCs/>
          <w:sz w:val="20"/>
          <w:szCs w:val="20"/>
        </w:rPr>
        <w:t>Bassaler</w:t>
      </w:r>
      <w:proofErr w:type="spellEnd"/>
      <w:r w:rsidRPr="006224A2">
        <w:rPr>
          <w:rFonts w:ascii="Times" w:eastAsia="Times New Roman" w:hAnsi="Times"/>
          <w:i/>
          <w:iCs/>
          <w:sz w:val="20"/>
          <w:szCs w:val="20"/>
        </w:rPr>
        <w:t xml:space="preserve">, n°13050 du 2 janvier 1957 ; </w:t>
      </w:r>
      <w:proofErr w:type="spellStart"/>
      <w:r w:rsidRPr="006224A2">
        <w:rPr>
          <w:rFonts w:ascii="Times" w:eastAsia="Times New Roman" w:hAnsi="Times"/>
          <w:i/>
          <w:iCs/>
          <w:sz w:val="20"/>
          <w:szCs w:val="20"/>
        </w:rPr>
        <w:t>Queyrie</w:t>
      </w:r>
      <w:proofErr w:type="spellEnd"/>
      <w:r w:rsidRPr="006224A2">
        <w:rPr>
          <w:rFonts w:ascii="Times" w:eastAsia="Times New Roman" w:hAnsi="Times"/>
          <w:i/>
          <w:iCs/>
          <w:sz w:val="20"/>
          <w:szCs w:val="20"/>
        </w:rPr>
        <w:t xml:space="preserve"> n°14065, du 18 juin 1958) »</w:t>
      </w:r>
    </w:p>
    <w:p w:rsidR="006224A2" w:rsidRPr="006224A2" w:rsidRDefault="006224A2" w:rsidP="006224A2">
      <w:pPr>
        <w:rPr>
          <w:rFonts w:ascii="Times" w:eastAsia="Times New Roman" w:hAnsi="Times"/>
          <w:sz w:val="20"/>
          <w:szCs w:val="20"/>
        </w:rPr>
      </w:pPr>
      <w:r w:rsidRPr="006224A2">
        <w:rPr>
          <w:rFonts w:ascii="Times" w:eastAsia="Times New Roman" w:hAnsi="Times"/>
          <w:sz w:val="20"/>
          <w:szCs w:val="20"/>
        </w:rPr>
        <w:t> </w:t>
      </w:r>
    </w:p>
    <w:p w:rsidR="006224A2" w:rsidRPr="006224A2" w:rsidRDefault="006224A2" w:rsidP="006224A2">
      <w:pPr>
        <w:numPr>
          <w:ilvl w:val="0"/>
          <w:numId w:val="4"/>
        </w:numPr>
        <w:pBdr>
          <w:left w:val="single" w:sz="6" w:space="0" w:color="auto"/>
        </w:pBdr>
        <w:spacing w:before="100" w:beforeAutospacing="1" w:after="100" w:afterAutospacing="1"/>
        <w:rPr>
          <w:rFonts w:ascii="Times" w:eastAsia="Times New Roman" w:hAnsi="Times"/>
          <w:i/>
          <w:iCs/>
          <w:sz w:val="20"/>
          <w:szCs w:val="20"/>
        </w:rPr>
      </w:pPr>
      <w:r w:rsidRPr="006224A2">
        <w:rPr>
          <w:rFonts w:ascii="Times" w:eastAsia="Times New Roman" w:hAnsi="Times"/>
          <w:iCs/>
          <w:sz w:val="20"/>
          <w:szCs w:val="20"/>
        </w:rPr>
        <w:t>Page 76 :</w:t>
      </w:r>
      <w:r w:rsidRPr="006224A2">
        <w:rPr>
          <w:rFonts w:ascii="Times" w:eastAsia="Times New Roman" w:hAnsi="Times"/>
          <w:i/>
          <w:iCs/>
          <w:sz w:val="20"/>
          <w:szCs w:val="20"/>
        </w:rPr>
        <w:t xml:space="preserve"> « Désormais le point de départ de toutes les pensions d’invalidité attribuées en application du code est soumis au même régime : il est fixé à la date du dépôt de la demande. »</w:t>
      </w:r>
    </w:p>
    <w:p w:rsidR="006224A2" w:rsidRPr="006224A2" w:rsidRDefault="006224A2" w:rsidP="006224A2">
      <w:pPr>
        <w:rPr>
          <w:rFonts w:ascii="Times" w:eastAsia="Times New Roman" w:hAnsi="Times"/>
          <w:sz w:val="20"/>
          <w:szCs w:val="20"/>
        </w:rPr>
      </w:pPr>
      <w:bookmarkStart w:id="0" w:name="_GoBack"/>
      <w:bookmarkEnd w:id="0"/>
      <w:r w:rsidRPr="006224A2">
        <w:rPr>
          <w:rFonts w:ascii="Times" w:eastAsia="Times New Roman" w:hAnsi="Times"/>
          <w:sz w:val="20"/>
          <w:szCs w:val="20"/>
        </w:rPr>
        <w:t>Il n’était donc pas clairement indiqué que la règle jurisprudentielle (</w:t>
      </w:r>
      <w:r w:rsidRPr="006224A2">
        <w:rPr>
          <w:rFonts w:ascii="Times" w:eastAsia="Times New Roman" w:hAnsi="Times"/>
          <w:sz w:val="20"/>
          <w:szCs w:val="20"/>
        </w:rPr>
        <w:fldChar w:fldCharType="begin"/>
      </w:r>
      <w:r w:rsidRPr="006224A2">
        <w:rPr>
          <w:rFonts w:ascii="Times" w:eastAsia="Times New Roman" w:hAnsi="Times"/>
          <w:sz w:val="20"/>
          <w:szCs w:val="20"/>
        </w:rPr>
        <w:instrText xml:space="preserve"> HYPERLINK "https://www.dropbox.com/s/f6tvx4tul5bh6ag/FICHE%20DE%20JURISPRUDENCE%20%C2%AB%C2%A0DATE%20DE%20LA%20DEMANDE%C2%A0%C2%BB.pdf?dl=0" \t "_blank" </w:instrText>
      </w:r>
      <w:r w:rsidRPr="006224A2">
        <w:rPr>
          <w:rFonts w:ascii="Times" w:eastAsia="Times New Roman" w:hAnsi="Times"/>
          <w:sz w:val="20"/>
          <w:szCs w:val="20"/>
        </w:rPr>
      </w:r>
      <w:r w:rsidRPr="006224A2">
        <w:rPr>
          <w:rFonts w:ascii="Times" w:eastAsia="Times New Roman" w:hAnsi="Times"/>
          <w:sz w:val="20"/>
          <w:szCs w:val="20"/>
        </w:rPr>
        <w:fldChar w:fldCharType="separate"/>
      </w:r>
      <w:r w:rsidRPr="006224A2">
        <w:rPr>
          <w:rFonts w:ascii="Times" w:eastAsia="Times New Roman" w:hAnsi="Times"/>
          <w:color w:val="0000FF" w:themeColor="hyperlink"/>
          <w:sz w:val="20"/>
          <w:szCs w:val="20"/>
          <w:u w:val="single"/>
        </w:rPr>
        <w:t>Cf. fiche de jurisprudence</w:t>
      </w:r>
      <w:r w:rsidRPr="006224A2">
        <w:rPr>
          <w:rFonts w:ascii="Times" w:eastAsia="Times New Roman" w:hAnsi="Times"/>
          <w:sz w:val="20"/>
          <w:szCs w:val="20"/>
        </w:rPr>
        <w:fldChar w:fldCharType="end"/>
      </w:r>
      <w:r w:rsidRPr="006224A2">
        <w:rPr>
          <w:rFonts w:ascii="Times" w:eastAsia="Times New Roman" w:hAnsi="Times"/>
          <w:sz w:val="20"/>
          <w:szCs w:val="20"/>
        </w:rPr>
        <w:t>) relative à la date à laquelle se placer pour évaluer le taux d’invalidité, n’avait pas été impactée par la loi de 1982. Pourtant, aussi loin que l’on remonte dans l’étude de la jurisprudence, le Conseil d’État n’a jamais varié dans son appréciation, et ce, qu’il s’agisse d’une concession initiale ou d’une action en révision de droits (aggravation, complication ou infirmité nouvelle).</w:t>
      </w:r>
    </w:p>
    <w:p w:rsidR="006224A2" w:rsidRPr="006224A2" w:rsidRDefault="006224A2" w:rsidP="006224A2">
      <w:pPr>
        <w:rPr>
          <w:rFonts w:ascii="Times" w:eastAsia="Times New Roman" w:hAnsi="Times"/>
          <w:sz w:val="20"/>
          <w:szCs w:val="20"/>
        </w:rPr>
      </w:pPr>
    </w:p>
    <w:p w:rsidR="00492863" w:rsidRDefault="00492863"/>
    <w:sectPr w:rsidR="00492863" w:rsidSect="000B18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A9A"/>
    <w:multiLevelType w:val="multilevel"/>
    <w:tmpl w:val="9466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168E"/>
    <w:multiLevelType w:val="multilevel"/>
    <w:tmpl w:val="FD52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E3278"/>
    <w:multiLevelType w:val="multilevel"/>
    <w:tmpl w:val="D34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54641"/>
    <w:multiLevelType w:val="multilevel"/>
    <w:tmpl w:val="E76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A2"/>
    <w:rsid w:val="000B1837"/>
    <w:rsid w:val="00492863"/>
    <w:rsid w:val="00622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69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24A2"/>
    <w:rPr>
      <w:color w:val="0000FF" w:themeColor="hyperlink"/>
      <w:u w:val="single"/>
    </w:rPr>
  </w:style>
  <w:style w:type="character" w:customStyle="1" w:styleId="attrlink">
    <w:name w:val="attrlink"/>
    <w:basedOn w:val="Policepardfaut"/>
    <w:rsid w:val="006224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24A2"/>
    <w:rPr>
      <w:color w:val="0000FF" w:themeColor="hyperlink"/>
      <w:u w:val="single"/>
    </w:rPr>
  </w:style>
  <w:style w:type="character" w:customStyle="1" w:styleId="attrlink">
    <w:name w:val="attrlink"/>
    <w:basedOn w:val="Policepardfaut"/>
    <w:rsid w:val="0062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8365">
      <w:bodyDiv w:val="1"/>
      <w:marLeft w:val="0"/>
      <w:marRight w:val="0"/>
      <w:marTop w:val="0"/>
      <w:marBottom w:val="0"/>
      <w:divBdr>
        <w:top w:val="none" w:sz="0" w:space="0" w:color="auto"/>
        <w:left w:val="none" w:sz="0" w:space="0" w:color="auto"/>
        <w:bottom w:val="none" w:sz="0" w:space="0" w:color="auto"/>
        <w:right w:val="none" w:sz="0" w:space="0" w:color="auto"/>
      </w:divBdr>
    </w:div>
    <w:div w:id="1101880127">
      <w:bodyDiv w:val="1"/>
      <w:marLeft w:val="0"/>
      <w:marRight w:val="0"/>
      <w:marTop w:val="0"/>
      <w:marBottom w:val="0"/>
      <w:divBdr>
        <w:top w:val="none" w:sz="0" w:space="0" w:color="auto"/>
        <w:left w:val="none" w:sz="0" w:space="0" w:color="auto"/>
        <w:bottom w:val="none" w:sz="0" w:space="0" w:color="auto"/>
        <w:right w:val="none" w:sz="0" w:space="0" w:color="auto"/>
      </w:divBdr>
      <w:divsChild>
        <w:div w:id="687676474">
          <w:marLeft w:val="0"/>
          <w:marRight w:val="0"/>
          <w:marTop w:val="0"/>
          <w:marBottom w:val="0"/>
          <w:divBdr>
            <w:top w:val="none" w:sz="0" w:space="0" w:color="auto"/>
            <w:left w:val="none" w:sz="0" w:space="0" w:color="auto"/>
            <w:bottom w:val="none" w:sz="0" w:space="0" w:color="auto"/>
            <w:right w:val="none" w:sz="0" w:space="0" w:color="auto"/>
          </w:divBdr>
        </w:div>
        <w:div w:id="1675111088">
          <w:marLeft w:val="0"/>
          <w:marRight w:val="0"/>
          <w:marTop w:val="0"/>
          <w:marBottom w:val="0"/>
          <w:divBdr>
            <w:top w:val="none" w:sz="0" w:space="0" w:color="auto"/>
            <w:left w:val="none" w:sz="0" w:space="0" w:color="auto"/>
            <w:bottom w:val="none" w:sz="0" w:space="0" w:color="auto"/>
            <w:right w:val="none" w:sz="0" w:space="0" w:color="auto"/>
          </w:divBdr>
        </w:div>
        <w:div w:id="1203903014">
          <w:marLeft w:val="0"/>
          <w:marRight w:val="0"/>
          <w:marTop w:val="0"/>
          <w:marBottom w:val="0"/>
          <w:divBdr>
            <w:top w:val="none" w:sz="0" w:space="0" w:color="auto"/>
            <w:left w:val="none" w:sz="0" w:space="0" w:color="auto"/>
            <w:bottom w:val="none" w:sz="0" w:space="0" w:color="auto"/>
            <w:right w:val="none" w:sz="0" w:space="0" w:color="auto"/>
          </w:divBdr>
        </w:div>
        <w:div w:id="724370964">
          <w:marLeft w:val="0"/>
          <w:marRight w:val="0"/>
          <w:marTop w:val="0"/>
          <w:marBottom w:val="0"/>
          <w:divBdr>
            <w:top w:val="none" w:sz="0" w:space="0" w:color="auto"/>
            <w:left w:val="none" w:sz="0" w:space="0" w:color="auto"/>
            <w:bottom w:val="none" w:sz="0" w:space="0" w:color="auto"/>
            <w:right w:val="none" w:sz="0" w:space="0" w:color="auto"/>
          </w:divBdr>
        </w:div>
        <w:div w:id="1011684902">
          <w:marLeft w:val="0"/>
          <w:marRight w:val="0"/>
          <w:marTop w:val="0"/>
          <w:marBottom w:val="0"/>
          <w:divBdr>
            <w:top w:val="none" w:sz="0" w:space="0" w:color="auto"/>
            <w:left w:val="none" w:sz="0" w:space="0" w:color="auto"/>
            <w:bottom w:val="none" w:sz="0" w:space="0" w:color="auto"/>
            <w:right w:val="none" w:sz="0" w:space="0" w:color="auto"/>
          </w:divBdr>
        </w:div>
        <w:div w:id="1242444907">
          <w:marLeft w:val="0"/>
          <w:marRight w:val="0"/>
          <w:marTop w:val="0"/>
          <w:marBottom w:val="0"/>
          <w:divBdr>
            <w:top w:val="none" w:sz="0" w:space="0" w:color="auto"/>
            <w:left w:val="none" w:sz="0" w:space="0" w:color="auto"/>
            <w:bottom w:val="none" w:sz="0" w:space="0" w:color="auto"/>
            <w:right w:val="none" w:sz="0" w:space="0" w:color="auto"/>
          </w:divBdr>
        </w:div>
        <w:div w:id="460272365">
          <w:marLeft w:val="0"/>
          <w:marRight w:val="0"/>
          <w:marTop w:val="0"/>
          <w:marBottom w:val="0"/>
          <w:divBdr>
            <w:top w:val="none" w:sz="0" w:space="0" w:color="auto"/>
            <w:left w:val="none" w:sz="0" w:space="0" w:color="auto"/>
            <w:bottom w:val="none" w:sz="0" w:space="0" w:color="auto"/>
            <w:right w:val="none" w:sz="0" w:space="0" w:color="auto"/>
          </w:divBdr>
        </w:div>
        <w:div w:id="1368412556">
          <w:marLeft w:val="0"/>
          <w:marRight w:val="0"/>
          <w:marTop w:val="0"/>
          <w:marBottom w:val="0"/>
          <w:divBdr>
            <w:top w:val="none" w:sz="0" w:space="0" w:color="auto"/>
            <w:left w:val="none" w:sz="0" w:space="0" w:color="auto"/>
            <w:bottom w:val="none" w:sz="0" w:space="0" w:color="auto"/>
            <w:right w:val="none" w:sz="0" w:space="0" w:color="auto"/>
          </w:divBdr>
        </w:div>
        <w:div w:id="69890993">
          <w:marLeft w:val="0"/>
          <w:marRight w:val="0"/>
          <w:marTop w:val="0"/>
          <w:marBottom w:val="0"/>
          <w:divBdr>
            <w:top w:val="none" w:sz="0" w:space="0" w:color="auto"/>
            <w:left w:val="none" w:sz="0" w:space="0" w:color="auto"/>
            <w:bottom w:val="none" w:sz="0" w:space="0" w:color="auto"/>
            <w:right w:val="none" w:sz="0" w:space="0" w:color="auto"/>
          </w:divBdr>
        </w:div>
        <w:div w:id="1528407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2394</Characters>
  <Application>Microsoft Macintosh Word</Application>
  <DocSecurity>0</DocSecurity>
  <Lines>19</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1</cp:revision>
  <dcterms:created xsi:type="dcterms:W3CDTF">2017-04-11T12:15:00Z</dcterms:created>
  <dcterms:modified xsi:type="dcterms:W3CDTF">2017-04-11T12:36:00Z</dcterms:modified>
</cp:coreProperties>
</file>