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A" w:rsidRPr="00B520DA" w:rsidRDefault="00B520DA" w:rsidP="00B520DA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B520DA">
        <w:rPr>
          <w:rFonts w:ascii="Times" w:eastAsia="Times New Roman" w:hAnsi="Times"/>
          <w:b/>
          <w:bCs/>
          <w:kern w:val="36"/>
          <w:sz w:val="48"/>
          <w:szCs w:val="48"/>
        </w:rPr>
        <w:t>Rente mutualiste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Depuis le 4 août 1923, l’État, au titre du droit à reconnaissance dû aux combattants, leur offre la possibilité de se constituer une rente viagère, majorée par son abondement.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 xml:space="preserve">Ce droit est conféré par l’article 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"https://www.legifrance.gouv.fr/affichCodeArticle.do?idArticle=LEGIARTI000006792343&amp;cidTexte=LEGITEXT000006074067&amp;dateTexte=20170316&amp;oldAction=rechCodeArticle&amp;fastReqId=1288228326&amp;nbResultRech=1"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L. 222-2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"https://www.legifrance.gouv.fr/affichCodeArticle.do?idArticle=LEGIARTI000006792343&amp;cidTexte=LEGITEXT000006074067&amp;dateTexte=20170316&amp;oldAction=rechCodeArticle&amp;fastReqId=1288228326&amp;nbResultRech=1"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 xml:space="preserve"> 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>(anciennement 99 ter) du code de la mutualité 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 xml:space="preserve">à tous les titulaires de la carte du combattant, les articles 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"http://code.pensionsmilitaires.com/codes/cpmivg2017/LEGIARTI000031710839-20170112"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 xml:space="preserve">L311-1 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 xml:space="preserve"> et 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"http://code.pensionsmilitaires.com/codes/cpmivg2017/LEGIARTI000031710837-20170112"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L. 311-2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 xml:space="preserve">  ou du titre de reconnaissance de la nation (TRN)  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"http://code.pensionsmilitaires.com/codes/cpmivg2017/LEGIARTI000031710803-20170112"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L. 331-1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>, ainsi qu’aux veuves, veufs, orphelins et ascendants des militaires, combattants, membres des forces supplétives ou des personnes civiles, morts pour la France au cours des guerres de 1914-1918, de 1939-1945, d’Indochine ou de Corée, de la guerre d’Algérie ou des combats en Tunisie et au Maroc et, aujourd’hui, du fait de leur participation à des opérations extérieures.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Les conditions de la majoration ou abondement de l’État sont fixées par décret, dont :</w:t>
      </w:r>
    </w:p>
    <w:p w:rsidR="00B520DA" w:rsidRPr="00B520DA" w:rsidRDefault="00B520DA" w:rsidP="00B520D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"https://www.legifrance.gouv.fr/affichTexte.do?cidTexte=JORFTEXT000000858004&amp;fastPos=1&amp;fastReqId=1264225688&amp;categorieLien=cid&amp;oldAction=rechTexte"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Le décret n°72-483 du 15 juin 1972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 xml:space="preserve">  portant application de l’article L. 222-2 du code la mutualité relatif à la majoration des rentes mutualistes des anciens militaires titulaires du titre de la reconnaissance de la Nation, institué par l’article 77 de la loi n°67-1114 du 21 décembre 1967.</w:t>
      </w:r>
    </w:p>
    <w:p w:rsidR="00B520DA" w:rsidRPr="00B520DA" w:rsidRDefault="00B520DA" w:rsidP="00B520D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"https://www.legifrance.gouv.fr/jo_pdf.do?id=JORFTEXT000000697337"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Le décret n°77-333 du 28 mars 1977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 xml:space="preserve"> portant application de l’article L. 222-2 du code de la mutualité relatif à la majoration des rentes mutualistes des anciens militaires titulaires de la carte du combattant attribuée dans les conditions fixées par la loi N°74-1044 du 9 décembre 1974 (Cf. commentaire de 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"http://code.pensionsmilitaires.com/codes/cpmivg2017/LEGIARTI000033818998-20170112"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l’article R. 311-13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>).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 xml:space="preserve"> Le plafond annuel </w:t>
      </w:r>
      <w:proofErr w:type="spellStart"/>
      <w:r w:rsidRPr="00B520DA">
        <w:rPr>
          <w:rFonts w:ascii="Times" w:eastAsia="Times New Roman" w:hAnsi="Times"/>
          <w:sz w:val="20"/>
          <w:szCs w:val="20"/>
        </w:rPr>
        <w:t>majorable</w:t>
      </w:r>
      <w:proofErr w:type="spellEnd"/>
      <w:r w:rsidRPr="00B520DA">
        <w:rPr>
          <w:rFonts w:ascii="Times" w:eastAsia="Times New Roman" w:hAnsi="Times"/>
          <w:sz w:val="20"/>
          <w:szCs w:val="20"/>
        </w:rPr>
        <w:t xml:space="preserve"> des rentes mutualistes a été fixé par l’article 101 de la loi n°2006-1666 du 21 décembre 2006, à 125 points d’indice de Pension Militaire d’invalidité 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(Cf.  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"http://code.pensionsmilitaires.com/codes/cpmivg2017/LEGIARTI000033770380-20170112"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article R. 125-1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t>). 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Ce montant varie donc tous les ans et donne lieu à parution d’un arrêté annuel fixant le montant du plafond (en euros) au 1</w:t>
      </w:r>
      <w:r w:rsidRPr="00B520DA">
        <w:rPr>
          <w:rFonts w:ascii="Times" w:eastAsia="Times New Roman" w:hAnsi="Times"/>
          <w:sz w:val="20"/>
          <w:szCs w:val="20"/>
          <w:vertAlign w:val="superscript"/>
        </w:rPr>
        <w:t>er</w:t>
      </w:r>
      <w:r w:rsidRPr="00B520DA">
        <w:rPr>
          <w:rFonts w:ascii="Times" w:eastAsia="Times New Roman" w:hAnsi="Times"/>
          <w:sz w:val="20"/>
          <w:szCs w:val="20"/>
        </w:rPr>
        <w:t xml:space="preserve"> janvier de chaque année.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Attention aux dispositions de l’avant dernier alinéa de l’article L. 222-2 du Code de la mutualité :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 xml:space="preserve"> “ </w:t>
      </w:r>
      <w:r w:rsidRPr="00B520DA">
        <w:rPr>
          <w:rFonts w:ascii="Times" w:eastAsia="Times New Roman" w:hAnsi="Times"/>
          <w:i/>
          <w:iCs/>
          <w:sz w:val="20"/>
          <w:szCs w:val="20"/>
        </w:rPr>
        <w:t>Le taux de la majoration mentionnée au premier alinéa est réduit de moitié lorsque les rentes sont souscrites par les personnes mentionnées ci-dessus après un délai de dix ans à compter de l’attribution de la carte du combattant ou du titre de reconnaissance de la nation.”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Il ne faut donc pas attendre trop longtemps, après l’obtention de la Carte du Combattant ou du TRN, pour penser à souscrire une rente mutualiste du combattant.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Après constitution, la “rente mutualiste” devient “retraite mutualiste” au terme du contrat souscrit.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Elle est alors exonérée d’impôt sur le revenu en vertu des dispositions de  </w:t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"https://www.legifrance.gouv.fr/affichCodeArticle.do?idArticle=LEGIARTI000033805220&amp;cidTexte=LEGITEXT000006069577&amp;dateTexte=20170324&amp;oldAction=rechCodeArticle&amp;fastReqId=728450777&amp;nbResultRech=1"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l’article 81- 4°- a du CGI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  <w:r w:rsidRPr="00B520DA">
        <w:rPr>
          <w:rFonts w:ascii="Times" w:eastAsia="Times New Roman" w:hAnsi="Times"/>
          <w:sz w:val="20"/>
          <w:szCs w:val="20"/>
        </w:rPr>
        <w:fldChar w:fldCharType="begin"/>
      </w:r>
      <w:r w:rsidRPr="00B520DA">
        <w:rPr>
          <w:rFonts w:ascii="Times" w:eastAsia="Times New Roman" w:hAnsi="Times"/>
          <w:sz w:val="20"/>
          <w:szCs w:val="20"/>
        </w:rPr>
        <w:instrText xml:space="preserve"> HYPERLINK "https://www.legifrance.gouv.fr/affichCodeArticle.do?idArticle=LEGIARTI000033805220&amp;cidTexte=LEGITEXT000006069577&amp;dateTexte=20170324&amp;oldAction=rechCodeArticle&amp;fastReqId=728450777&amp;nbResultRech=1" \t "_blank" </w:instrText>
      </w:r>
      <w:r w:rsidRPr="00B520DA">
        <w:rPr>
          <w:rFonts w:ascii="Times" w:eastAsia="Times New Roman" w:hAnsi="Times"/>
          <w:sz w:val="20"/>
          <w:szCs w:val="20"/>
        </w:rPr>
      </w:r>
      <w:r w:rsidRPr="00B520DA">
        <w:rPr>
          <w:rFonts w:ascii="Times" w:eastAsia="Times New Roman" w:hAnsi="Times"/>
          <w:sz w:val="20"/>
          <w:szCs w:val="20"/>
        </w:rPr>
        <w:fldChar w:fldCharType="separate"/>
      </w:r>
      <w:r w:rsidRPr="00B520DA">
        <w:rPr>
          <w:rFonts w:ascii="Times" w:eastAsia="Times New Roman" w:hAnsi="Times"/>
          <w:color w:val="0000FF" w:themeColor="hyperlink"/>
          <w:sz w:val="20"/>
          <w:szCs w:val="20"/>
          <w:u w:val="single"/>
        </w:rPr>
        <w:t>.</w:t>
      </w:r>
      <w:r w:rsidRPr="00B520DA">
        <w:rPr>
          <w:rFonts w:ascii="Times" w:eastAsia="Times New Roman" w:hAnsi="Times"/>
          <w:sz w:val="20"/>
          <w:szCs w:val="20"/>
        </w:rPr>
        <w:fldChar w:fldCharType="end"/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 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Rédaction V. de Tienda-Jouhet</w:t>
      </w:r>
    </w:p>
    <w:p w:rsidR="00B520DA" w:rsidRPr="00B520DA" w:rsidRDefault="00B520DA" w:rsidP="00B520DA">
      <w:pPr>
        <w:rPr>
          <w:rFonts w:ascii="Times" w:eastAsia="Times New Roman" w:hAnsi="Times"/>
          <w:sz w:val="20"/>
          <w:szCs w:val="20"/>
        </w:rPr>
      </w:pPr>
      <w:r w:rsidRPr="00B520DA">
        <w:rPr>
          <w:rFonts w:ascii="Times" w:eastAsia="Times New Roman" w:hAnsi="Times"/>
          <w:sz w:val="20"/>
          <w:szCs w:val="20"/>
        </w:rPr>
        <w:t>20/03/2017</w:t>
      </w:r>
    </w:p>
    <w:p w:rsidR="00492863" w:rsidRDefault="00492863">
      <w:bookmarkStart w:id="0" w:name="_GoBack"/>
      <w:bookmarkEnd w:id="0"/>
    </w:p>
    <w:sectPr w:rsidR="00492863" w:rsidSect="000B1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A3B"/>
    <w:multiLevelType w:val="multilevel"/>
    <w:tmpl w:val="454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A"/>
    <w:rsid w:val="000B1837"/>
    <w:rsid w:val="00492863"/>
    <w:rsid w:val="00B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69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20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0DA"/>
    <w:rPr>
      <w:rFonts w:ascii="Times" w:hAnsi="Times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B520DA"/>
    <w:rPr>
      <w:color w:val="0000FF" w:themeColor="hyperlink"/>
      <w:u w:val="single"/>
    </w:rPr>
  </w:style>
  <w:style w:type="character" w:customStyle="1" w:styleId="attrlink">
    <w:name w:val="attrlink"/>
    <w:basedOn w:val="Policepardfaut"/>
    <w:rsid w:val="00B520DA"/>
  </w:style>
  <w:style w:type="character" w:customStyle="1" w:styleId="thread-577973180989926">
    <w:name w:val="thread-577973180989926"/>
    <w:basedOn w:val="Policepardfaut"/>
    <w:rsid w:val="00B52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20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0DA"/>
    <w:rPr>
      <w:rFonts w:ascii="Times" w:hAnsi="Times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B520DA"/>
    <w:rPr>
      <w:color w:val="0000FF" w:themeColor="hyperlink"/>
      <w:u w:val="single"/>
    </w:rPr>
  </w:style>
  <w:style w:type="character" w:customStyle="1" w:styleId="attrlink">
    <w:name w:val="attrlink"/>
    <w:basedOn w:val="Policepardfaut"/>
    <w:rsid w:val="00B520DA"/>
  </w:style>
  <w:style w:type="character" w:customStyle="1" w:styleId="thread-577973180989926">
    <w:name w:val="thread-577973180989926"/>
    <w:basedOn w:val="Policepardfaut"/>
    <w:rsid w:val="00B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3658</Characters>
  <Application>Microsoft Macintosh Word</Application>
  <DocSecurity>0</DocSecurity>
  <Lines>64</Lines>
  <Paragraphs>31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2017-03-27T16:12:00Z</dcterms:created>
  <dcterms:modified xsi:type="dcterms:W3CDTF">2017-03-27T16:13:00Z</dcterms:modified>
</cp:coreProperties>
</file>