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D0" w:rsidRPr="00896AD0" w:rsidRDefault="00896AD0" w:rsidP="00896AD0">
      <w:pPr>
        <w:rPr>
          <w:rFonts w:ascii="Times" w:eastAsia="Times New Roman" w:hAnsi="Times"/>
          <w:sz w:val="20"/>
          <w:szCs w:val="20"/>
        </w:rPr>
      </w:pPr>
      <w:r w:rsidRPr="00896AD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Livre 8 : </w:t>
      </w:r>
      <w:r w:rsidRPr="00896AD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  <w:t>Allocation</w:t>
      </w:r>
      <w:r w:rsidRPr="00896AD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s aux personnes âgées - </w:t>
      </w:r>
      <w:r w:rsidRPr="00896AD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  <w:t>Allocation</w:t>
      </w:r>
      <w:r w:rsidRPr="00896AD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 aux adultes handicapés - </w:t>
      </w:r>
      <w:r w:rsidRPr="00896AD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  <w:t>Allocation</w:t>
      </w:r>
      <w:r w:rsidRPr="00896AD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 de logement sociale - Aides à l'emploi pour la garde des jeunes enfants - Aides aux collectivités et organismes logeant à titre temporaire des personnes défavorisées ou gérant des aires d'accueil des gens du voyage - Protection complémentaire en matière de santé</w:t>
      </w:r>
    </w:p>
    <w:p w:rsidR="00896AD0" w:rsidRPr="00896AD0" w:rsidRDefault="00896AD0" w:rsidP="00896AD0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180"/>
        <w:rPr>
          <w:rFonts w:ascii="Arial" w:eastAsia="Times New Roman" w:hAnsi="Arial" w:cs="Arial"/>
          <w:color w:val="000000"/>
          <w:sz w:val="19"/>
          <w:szCs w:val="19"/>
        </w:rPr>
      </w:pPr>
      <w:r w:rsidRPr="00896AD0">
        <w:rPr>
          <w:rFonts w:ascii="Arial" w:eastAsia="Times New Roman" w:hAnsi="Arial" w:cs="Arial"/>
          <w:b/>
          <w:bCs/>
          <w:color w:val="000000"/>
          <w:sz w:val="20"/>
          <w:szCs w:val="20"/>
        </w:rPr>
        <w:t>Titre 1 : </w:t>
      </w:r>
      <w:r w:rsidRPr="00896AD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</w:rPr>
        <w:t>Allocation</w:t>
      </w:r>
      <w:r w:rsidRPr="00896AD0">
        <w:rPr>
          <w:rFonts w:ascii="Arial" w:eastAsia="Times New Roman" w:hAnsi="Arial" w:cs="Arial"/>
          <w:b/>
          <w:bCs/>
          <w:color w:val="000000"/>
          <w:sz w:val="20"/>
          <w:szCs w:val="20"/>
        </w:rPr>
        <w:t>s aux personnes âgées</w:t>
      </w:r>
    </w:p>
    <w:p w:rsidR="00896AD0" w:rsidRPr="00896AD0" w:rsidRDefault="00896AD0" w:rsidP="00896AD0">
      <w:pPr>
        <w:numPr>
          <w:ilvl w:val="1"/>
          <w:numId w:val="1"/>
        </w:numPr>
        <w:shd w:val="clear" w:color="auto" w:fill="FFFFFF"/>
        <w:spacing w:before="60" w:after="60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896AD0">
        <w:rPr>
          <w:rFonts w:ascii="Arial" w:eastAsia="Times New Roman" w:hAnsi="Arial" w:cs="Arial"/>
          <w:b/>
          <w:bCs/>
          <w:color w:val="000000"/>
          <w:sz w:val="19"/>
          <w:szCs w:val="19"/>
        </w:rPr>
        <w:t>Chapitre 5 : </w:t>
      </w:r>
      <w:r w:rsidRPr="00896AD0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00"/>
        </w:rPr>
        <w:t>Allocation</w:t>
      </w:r>
      <w:r w:rsidRPr="00896AD0">
        <w:rPr>
          <w:rFonts w:ascii="Arial" w:eastAsia="Times New Roman" w:hAnsi="Arial" w:cs="Arial"/>
          <w:b/>
          <w:bCs/>
          <w:color w:val="000000"/>
          <w:sz w:val="19"/>
          <w:szCs w:val="19"/>
        </w:rPr>
        <w:t> de </w:t>
      </w:r>
      <w:r w:rsidRPr="00896AD0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00"/>
        </w:rPr>
        <w:t>solidarité</w:t>
      </w:r>
      <w:r w:rsidRPr="00896AD0">
        <w:rPr>
          <w:rFonts w:ascii="Arial" w:eastAsia="Times New Roman" w:hAnsi="Arial" w:cs="Arial"/>
          <w:b/>
          <w:bCs/>
          <w:color w:val="000000"/>
          <w:sz w:val="19"/>
          <w:szCs w:val="19"/>
        </w:rPr>
        <w:t> aux personnes âgées</w:t>
      </w:r>
    </w:p>
    <w:p w:rsidR="00896AD0" w:rsidRPr="00896AD0" w:rsidRDefault="00896AD0" w:rsidP="00896AD0">
      <w:pPr>
        <w:numPr>
          <w:ilvl w:val="2"/>
          <w:numId w:val="1"/>
        </w:numPr>
        <w:shd w:val="clear" w:color="auto" w:fill="FFFFFF"/>
        <w:spacing w:before="60" w:after="60" w:line="360" w:lineRule="atLeast"/>
        <w:ind w:left="540"/>
        <w:rPr>
          <w:rFonts w:ascii="Arial" w:eastAsia="Times New Roman" w:hAnsi="Arial" w:cs="Arial"/>
          <w:color w:val="000000"/>
          <w:sz w:val="19"/>
          <w:szCs w:val="19"/>
        </w:rPr>
      </w:pPr>
      <w:r w:rsidRPr="00896AD0">
        <w:rPr>
          <w:rFonts w:ascii="Arial" w:eastAsia="Times New Roman" w:hAnsi="Arial" w:cs="Arial"/>
          <w:color w:val="000000"/>
          <w:sz w:val="19"/>
          <w:szCs w:val="19"/>
        </w:rPr>
        <w:t>Section 1 : Ouverture du droit et liquidation de l'</w:t>
      </w:r>
      <w:r w:rsidRPr="00896AD0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00"/>
        </w:rPr>
        <w:t>allocation</w:t>
      </w:r>
      <w:r w:rsidRPr="00896AD0">
        <w:rPr>
          <w:rFonts w:ascii="Arial" w:eastAsia="Times New Roman" w:hAnsi="Arial" w:cs="Arial"/>
          <w:color w:val="000000"/>
          <w:sz w:val="19"/>
          <w:szCs w:val="19"/>
        </w:rPr>
        <w:t> de </w:t>
      </w:r>
      <w:r w:rsidRPr="00896AD0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00"/>
        </w:rPr>
        <w:t>solidarité</w:t>
      </w:r>
      <w:r w:rsidRPr="00896AD0">
        <w:rPr>
          <w:rFonts w:ascii="Arial" w:eastAsia="Times New Roman" w:hAnsi="Arial" w:cs="Arial"/>
          <w:color w:val="000000"/>
          <w:sz w:val="19"/>
          <w:szCs w:val="19"/>
        </w:rPr>
        <w:t> aux personnes âgées</w:t>
      </w:r>
    </w:p>
    <w:p w:rsidR="00896AD0" w:rsidRPr="00896AD0" w:rsidRDefault="00896AD0" w:rsidP="00896AD0">
      <w:pPr>
        <w:numPr>
          <w:ilvl w:val="3"/>
          <w:numId w:val="1"/>
        </w:numPr>
        <w:shd w:val="clear" w:color="auto" w:fill="FFFFFF"/>
        <w:spacing w:before="60" w:after="60" w:line="360" w:lineRule="atLeast"/>
        <w:ind w:left="720"/>
        <w:rPr>
          <w:rFonts w:ascii="Arial" w:eastAsia="Times New Roman" w:hAnsi="Arial" w:cs="Arial"/>
          <w:color w:val="000000"/>
          <w:sz w:val="19"/>
          <w:szCs w:val="19"/>
        </w:rPr>
      </w:pPr>
      <w:r w:rsidRPr="00896AD0">
        <w:rPr>
          <w:rFonts w:ascii="Arial" w:eastAsia="Times New Roman" w:hAnsi="Arial" w:cs="Arial"/>
          <w:color w:val="000000"/>
          <w:sz w:val="19"/>
          <w:szCs w:val="19"/>
        </w:rPr>
        <w:t>Sous-section 1 : Conditions d'ouverture du droit à l'</w:t>
      </w:r>
      <w:r w:rsidRPr="00896AD0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00"/>
        </w:rPr>
        <w:t>allocation</w:t>
      </w:r>
      <w:r w:rsidRPr="00896AD0">
        <w:rPr>
          <w:rFonts w:ascii="Arial" w:eastAsia="Times New Roman" w:hAnsi="Arial" w:cs="Arial"/>
          <w:color w:val="000000"/>
          <w:sz w:val="19"/>
          <w:szCs w:val="19"/>
        </w:rPr>
        <w:t> (</w:t>
      </w:r>
      <w:hyperlink r:id="rId6" w:history="1">
        <w:r w:rsidRPr="00896AD0">
          <w:rPr>
            <w:rFonts w:ascii="Arial" w:eastAsia="Times New Roman" w:hAnsi="Arial" w:cs="Arial"/>
            <w:color w:val="336699"/>
            <w:sz w:val="19"/>
            <w:szCs w:val="19"/>
            <w:u w:val="single"/>
          </w:rPr>
          <w:t>Articles L815-1 à L815-6</w:t>
        </w:r>
      </w:hyperlink>
      <w:r w:rsidRPr="00896AD0">
        <w:rPr>
          <w:rFonts w:ascii="Arial" w:eastAsia="Times New Roman" w:hAnsi="Arial" w:cs="Arial"/>
          <w:color w:val="000000"/>
          <w:sz w:val="19"/>
          <w:szCs w:val="19"/>
        </w:rPr>
        <w:t>)</w:t>
      </w:r>
    </w:p>
    <w:p w:rsidR="00896AD0" w:rsidRPr="00896AD0" w:rsidRDefault="00896AD0" w:rsidP="00896AD0">
      <w:pPr>
        <w:numPr>
          <w:ilvl w:val="3"/>
          <w:numId w:val="1"/>
        </w:numPr>
        <w:shd w:val="clear" w:color="auto" w:fill="FFFFFF"/>
        <w:spacing w:before="60" w:after="60" w:line="360" w:lineRule="atLeast"/>
        <w:ind w:left="720"/>
        <w:rPr>
          <w:rFonts w:ascii="Arial" w:eastAsia="Times New Roman" w:hAnsi="Arial" w:cs="Arial"/>
          <w:color w:val="000000"/>
          <w:sz w:val="19"/>
          <w:szCs w:val="19"/>
        </w:rPr>
      </w:pPr>
      <w:r w:rsidRPr="00896AD0">
        <w:rPr>
          <w:rFonts w:ascii="Arial" w:eastAsia="Times New Roman" w:hAnsi="Arial" w:cs="Arial"/>
          <w:color w:val="000000"/>
          <w:sz w:val="19"/>
          <w:szCs w:val="19"/>
        </w:rPr>
        <w:t>Sous-section 2 : Présentation des demandes et mission des organismes liquidateurs (</w:t>
      </w:r>
      <w:hyperlink r:id="rId7" w:history="1">
        <w:r w:rsidRPr="00896AD0">
          <w:rPr>
            <w:rFonts w:ascii="Arial" w:eastAsia="Times New Roman" w:hAnsi="Arial" w:cs="Arial"/>
            <w:color w:val="336699"/>
            <w:sz w:val="19"/>
            <w:szCs w:val="19"/>
            <w:u w:val="single"/>
          </w:rPr>
          <w:t>Articles L815-7 à L815-8</w:t>
        </w:r>
      </w:hyperlink>
      <w:r w:rsidRPr="00896AD0">
        <w:rPr>
          <w:rFonts w:ascii="Arial" w:eastAsia="Times New Roman" w:hAnsi="Arial" w:cs="Arial"/>
          <w:color w:val="000000"/>
          <w:sz w:val="19"/>
          <w:szCs w:val="19"/>
        </w:rPr>
        <w:t>)</w:t>
      </w:r>
    </w:p>
    <w:p w:rsidR="00896AD0" w:rsidRPr="00896AD0" w:rsidRDefault="00896AD0" w:rsidP="00896AD0">
      <w:pPr>
        <w:numPr>
          <w:ilvl w:val="3"/>
          <w:numId w:val="1"/>
        </w:numPr>
        <w:shd w:val="clear" w:color="auto" w:fill="FFFFFF"/>
        <w:spacing w:before="60" w:after="60" w:line="360" w:lineRule="atLeast"/>
        <w:ind w:left="720"/>
        <w:rPr>
          <w:rFonts w:ascii="Arial" w:eastAsia="Times New Roman" w:hAnsi="Arial" w:cs="Arial"/>
          <w:color w:val="000000"/>
          <w:sz w:val="19"/>
          <w:szCs w:val="19"/>
        </w:rPr>
      </w:pPr>
      <w:r w:rsidRPr="00896AD0">
        <w:rPr>
          <w:rFonts w:ascii="Arial" w:eastAsia="Times New Roman" w:hAnsi="Arial" w:cs="Arial"/>
          <w:color w:val="000000"/>
          <w:sz w:val="19"/>
          <w:szCs w:val="19"/>
        </w:rPr>
        <w:t>Sous-section 3 : Appréciation des ressources (</w:t>
      </w:r>
      <w:hyperlink r:id="rId8" w:history="1">
        <w:r w:rsidRPr="00896AD0">
          <w:rPr>
            <w:rFonts w:ascii="Arial" w:eastAsia="Times New Roman" w:hAnsi="Arial" w:cs="Arial"/>
            <w:color w:val="336699"/>
            <w:sz w:val="19"/>
            <w:szCs w:val="19"/>
            <w:u w:val="single"/>
          </w:rPr>
          <w:t>Article L815-9</w:t>
        </w:r>
      </w:hyperlink>
      <w:r w:rsidRPr="00896AD0">
        <w:rPr>
          <w:rFonts w:ascii="Arial" w:eastAsia="Times New Roman" w:hAnsi="Arial" w:cs="Arial"/>
          <w:color w:val="000000"/>
          <w:sz w:val="19"/>
          <w:szCs w:val="19"/>
        </w:rPr>
        <w:t>)</w:t>
      </w:r>
    </w:p>
    <w:p w:rsidR="00896AD0" w:rsidRPr="00896AD0" w:rsidRDefault="00896AD0" w:rsidP="00896AD0">
      <w:pPr>
        <w:numPr>
          <w:ilvl w:val="3"/>
          <w:numId w:val="1"/>
        </w:numPr>
        <w:shd w:val="clear" w:color="auto" w:fill="FFFFFF"/>
        <w:spacing w:before="60" w:after="60" w:line="360" w:lineRule="atLeast"/>
        <w:ind w:left="720"/>
        <w:rPr>
          <w:rFonts w:ascii="Arial" w:eastAsia="Times New Roman" w:hAnsi="Arial" w:cs="Arial"/>
          <w:color w:val="000000"/>
          <w:sz w:val="19"/>
          <w:szCs w:val="19"/>
        </w:rPr>
      </w:pPr>
      <w:r w:rsidRPr="00896AD0">
        <w:rPr>
          <w:rFonts w:ascii="Arial" w:eastAsia="Times New Roman" w:hAnsi="Arial" w:cs="Arial"/>
          <w:color w:val="000000"/>
          <w:sz w:val="19"/>
          <w:szCs w:val="19"/>
        </w:rPr>
        <w:t>Sous-section 4 : Service de l'</w:t>
      </w:r>
      <w:r w:rsidRPr="00896AD0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00"/>
        </w:rPr>
        <w:t>allocation</w:t>
      </w:r>
      <w:r w:rsidRPr="00896AD0">
        <w:rPr>
          <w:rFonts w:ascii="Arial" w:eastAsia="Times New Roman" w:hAnsi="Arial" w:cs="Arial"/>
          <w:color w:val="000000"/>
          <w:sz w:val="19"/>
          <w:szCs w:val="19"/>
        </w:rPr>
        <w:t> (</w:t>
      </w:r>
      <w:hyperlink r:id="rId9" w:history="1">
        <w:r w:rsidRPr="00896AD0">
          <w:rPr>
            <w:rFonts w:ascii="Arial" w:eastAsia="Times New Roman" w:hAnsi="Arial" w:cs="Arial"/>
            <w:color w:val="336699"/>
            <w:sz w:val="19"/>
            <w:szCs w:val="19"/>
            <w:u w:val="single"/>
          </w:rPr>
          <w:t>Articles L815-10 à L815-12</w:t>
        </w:r>
      </w:hyperlink>
      <w:r w:rsidRPr="00896AD0">
        <w:rPr>
          <w:rFonts w:ascii="Arial" w:eastAsia="Times New Roman" w:hAnsi="Arial" w:cs="Arial"/>
          <w:color w:val="000000"/>
          <w:sz w:val="19"/>
          <w:szCs w:val="19"/>
        </w:rPr>
        <w:t>)</w:t>
      </w:r>
    </w:p>
    <w:p w:rsidR="00896AD0" w:rsidRPr="00896AD0" w:rsidRDefault="00896AD0" w:rsidP="00896AD0">
      <w:pPr>
        <w:numPr>
          <w:ilvl w:val="2"/>
          <w:numId w:val="1"/>
        </w:numPr>
        <w:shd w:val="clear" w:color="auto" w:fill="FFFFFF"/>
        <w:spacing w:before="60" w:after="60" w:line="360" w:lineRule="atLeast"/>
        <w:ind w:left="540"/>
        <w:rPr>
          <w:rFonts w:ascii="Arial" w:eastAsia="Times New Roman" w:hAnsi="Arial" w:cs="Arial"/>
          <w:color w:val="000000"/>
          <w:sz w:val="19"/>
          <w:szCs w:val="19"/>
        </w:rPr>
      </w:pPr>
      <w:r w:rsidRPr="00896AD0">
        <w:rPr>
          <w:rFonts w:ascii="Arial" w:eastAsia="Times New Roman" w:hAnsi="Arial" w:cs="Arial"/>
          <w:color w:val="000000"/>
          <w:sz w:val="19"/>
          <w:szCs w:val="19"/>
        </w:rPr>
        <w:t>Section 2 : Recouvrement sur les successions (</w:t>
      </w:r>
      <w:hyperlink r:id="rId10" w:history="1">
        <w:r w:rsidRPr="00896AD0">
          <w:rPr>
            <w:rFonts w:ascii="Arial" w:eastAsia="Times New Roman" w:hAnsi="Arial" w:cs="Arial"/>
            <w:color w:val="336699"/>
            <w:sz w:val="19"/>
            <w:szCs w:val="19"/>
            <w:u w:val="single"/>
          </w:rPr>
          <w:t>Article L815-13</w:t>
        </w:r>
      </w:hyperlink>
      <w:r w:rsidRPr="00896AD0">
        <w:rPr>
          <w:rFonts w:ascii="Arial" w:eastAsia="Times New Roman" w:hAnsi="Arial" w:cs="Arial"/>
          <w:color w:val="000000"/>
          <w:sz w:val="19"/>
          <w:szCs w:val="19"/>
        </w:rPr>
        <w:t>)</w:t>
      </w:r>
    </w:p>
    <w:p w:rsidR="00896AD0" w:rsidRPr="00896AD0" w:rsidRDefault="00896AD0" w:rsidP="00896AD0">
      <w:pPr>
        <w:numPr>
          <w:ilvl w:val="2"/>
          <w:numId w:val="1"/>
        </w:numPr>
        <w:shd w:val="clear" w:color="auto" w:fill="FFFFFF"/>
        <w:spacing w:before="60" w:after="60" w:line="360" w:lineRule="atLeast"/>
        <w:ind w:left="540"/>
        <w:rPr>
          <w:rFonts w:ascii="Arial" w:eastAsia="Times New Roman" w:hAnsi="Arial" w:cs="Arial"/>
          <w:color w:val="000000"/>
          <w:sz w:val="19"/>
          <w:szCs w:val="19"/>
        </w:rPr>
      </w:pPr>
      <w:r w:rsidRPr="00896AD0">
        <w:rPr>
          <w:rFonts w:ascii="Arial" w:eastAsia="Times New Roman" w:hAnsi="Arial" w:cs="Arial"/>
          <w:color w:val="000000"/>
          <w:sz w:val="19"/>
          <w:szCs w:val="19"/>
        </w:rPr>
        <w:t>Section 3 : Contentieux et pénalités (</w:t>
      </w:r>
      <w:hyperlink r:id="rId11" w:history="1">
        <w:r w:rsidRPr="00896AD0">
          <w:rPr>
            <w:rFonts w:ascii="Arial" w:eastAsia="Times New Roman" w:hAnsi="Arial" w:cs="Arial"/>
            <w:color w:val="336699"/>
            <w:sz w:val="19"/>
            <w:szCs w:val="19"/>
            <w:u w:val="single"/>
          </w:rPr>
          <w:t>Articles L815-14 à L815-15</w:t>
        </w:r>
      </w:hyperlink>
      <w:r w:rsidRPr="00896AD0">
        <w:rPr>
          <w:rFonts w:ascii="Arial" w:eastAsia="Times New Roman" w:hAnsi="Arial" w:cs="Arial"/>
          <w:color w:val="000000"/>
          <w:sz w:val="19"/>
          <w:szCs w:val="19"/>
        </w:rPr>
        <w:t>)</w:t>
      </w:r>
    </w:p>
    <w:p w:rsidR="00896AD0" w:rsidRPr="00896AD0" w:rsidRDefault="00896AD0" w:rsidP="00896AD0">
      <w:pPr>
        <w:numPr>
          <w:ilvl w:val="2"/>
          <w:numId w:val="1"/>
        </w:numPr>
        <w:shd w:val="clear" w:color="auto" w:fill="FFFFFF"/>
        <w:spacing w:before="60" w:after="60" w:line="360" w:lineRule="atLeast"/>
        <w:ind w:left="540"/>
        <w:rPr>
          <w:rFonts w:ascii="Arial" w:eastAsia="Times New Roman" w:hAnsi="Arial" w:cs="Arial"/>
          <w:color w:val="000000"/>
          <w:sz w:val="19"/>
          <w:szCs w:val="19"/>
        </w:rPr>
      </w:pPr>
      <w:r w:rsidRPr="00896AD0">
        <w:rPr>
          <w:rFonts w:ascii="Arial" w:eastAsia="Times New Roman" w:hAnsi="Arial" w:cs="Arial"/>
          <w:color w:val="000000"/>
          <w:sz w:val="19"/>
          <w:szCs w:val="19"/>
        </w:rPr>
        <w:t>Section 4 : Dispositions administratives (</w:t>
      </w:r>
      <w:hyperlink r:id="rId12" w:history="1">
        <w:r w:rsidRPr="00896AD0">
          <w:rPr>
            <w:rFonts w:ascii="Arial" w:eastAsia="Times New Roman" w:hAnsi="Arial" w:cs="Arial"/>
            <w:color w:val="336699"/>
            <w:sz w:val="19"/>
            <w:szCs w:val="19"/>
            <w:u w:val="single"/>
          </w:rPr>
          <w:t>Articles L815-16 à L815-18</w:t>
        </w:r>
      </w:hyperlink>
      <w:r w:rsidRPr="00896AD0">
        <w:rPr>
          <w:rFonts w:ascii="Arial" w:eastAsia="Times New Roman" w:hAnsi="Arial" w:cs="Arial"/>
          <w:color w:val="000000"/>
          <w:sz w:val="19"/>
          <w:szCs w:val="19"/>
        </w:rPr>
        <w:t>)</w:t>
      </w:r>
    </w:p>
    <w:p w:rsidR="00896AD0" w:rsidRPr="00896AD0" w:rsidRDefault="00896AD0" w:rsidP="00896AD0">
      <w:pPr>
        <w:numPr>
          <w:ilvl w:val="2"/>
          <w:numId w:val="1"/>
        </w:numPr>
        <w:shd w:val="clear" w:color="auto" w:fill="FFFFFF"/>
        <w:spacing w:before="60" w:after="60" w:line="360" w:lineRule="atLeast"/>
        <w:ind w:left="540"/>
        <w:rPr>
          <w:rFonts w:ascii="Arial" w:eastAsia="Times New Roman" w:hAnsi="Arial" w:cs="Arial"/>
          <w:color w:val="000000"/>
          <w:sz w:val="19"/>
          <w:szCs w:val="19"/>
        </w:rPr>
      </w:pPr>
      <w:r w:rsidRPr="00896AD0">
        <w:rPr>
          <w:rFonts w:ascii="Arial" w:eastAsia="Times New Roman" w:hAnsi="Arial" w:cs="Arial"/>
          <w:color w:val="000000"/>
          <w:sz w:val="19"/>
          <w:szCs w:val="19"/>
        </w:rPr>
        <w:t>Section 5 : Dispositions financières (</w:t>
      </w:r>
      <w:hyperlink r:id="rId13" w:history="1">
        <w:r w:rsidRPr="00896AD0">
          <w:rPr>
            <w:rFonts w:ascii="Arial" w:eastAsia="Times New Roman" w:hAnsi="Arial" w:cs="Arial"/>
            <w:color w:val="336699"/>
            <w:sz w:val="19"/>
            <w:szCs w:val="19"/>
            <w:u w:val="single"/>
          </w:rPr>
          <w:t>Articles L815-19 à L815-22</w:t>
        </w:r>
      </w:hyperlink>
      <w:r w:rsidRPr="00896AD0">
        <w:rPr>
          <w:rFonts w:ascii="Arial" w:eastAsia="Times New Roman" w:hAnsi="Arial" w:cs="Arial"/>
          <w:color w:val="000000"/>
          <w:sz w:val="19"/>
          <w:szCs w:val="19"/>
        </w:rPr>
        <w:t>)</w:t>
      </w:r>
    </w:p>
    <w:p w:rsidR="00896AD0" w:rsidRPr="00896AD0" w:rsidRDefault="00896AD0" w:rsidP="00896AD0">
      <w:pPr>
        <w:numPr>
          <w:ilvl w:val="2"/>
          <w:numId w:val="1"/>
        </w:numPr>
        <w:shd w:val="clear" w:color="auto" w:fill="FFFFFF"/>
        <w:spacing w:before="60" w:after="60" w:line="360" w:lineRule="atLeast"/>
        <w:ind w:left="540"/>
        <w:rPr>
          <w:rFonts w:ascii="Arial" w:eastAsia="Times New Roman" w:hAnsi="Arial" w:cs="Arial"/>
          <w:color w:val="000000"/>
          <w:sz w:val="19"/>
          <w:szCs w:val="19"/>
        </w:rPr>
      </w:pPr>
      <w:r w:rsidRPr="00896AD0">
        <w:rPr>
          <w:rFonts w:ascii="Arial" w:eastAsia="Times New Roman" w:hAnsi="Arial" w:cs="Arial"/>
          <w:color w:val="000000"/>
          <w:sz w:val="19"/>
          <w:szCs w:val="19"/>
        </w:rPr>
        <w:t>Section 6 : Dispositions d'application (</w:t>
      </w:r>
      <w:hyperlink r:id="rId14" w:history="1">
        <w:r w:rsidRPr="00896AD0">
          <w:rPr>
            <w:rFonts w:ascii="Arial" w:eastAsia="Times New Roman" w:hAnsi="Arial" w:cs="Arial"/>
            <w:color w:val="336699"/>
            <w:sz w:val="19"/>
            <w:szCs w:val="19"/>
            <w:u w:val="single"/>
          </w:rPr>
          <w:t>Article L815-23</w:t>
        </w:r>
      </w:hyperlink>
      <w:r w:rsidRPr="00896AD0">
        <w:rPr>
          <w:rFonts w:ascii="Arial" w:eastAsia="Times New Roman" w:hAnsi="Arial" w:cs="Arial"/>
          <w:color w:val="000000"/>
          <w:sz w:val="19"/>
          <w:szCs w:val="19"/>
        </w:rPr>
        <w:t>)</w:t>
      </w:r>
    </w:p>
    <w:p w:rsidR="00492863" w:rsidRDefault="00492863">
      <w:bookmarkStart w:id="0" w:name="_GoBack"/>
      <w:bookmarkEnd w:id="0"/>
    </w:p>
    <w:sectPr w:rsidR="00492863" w:rsidSect="000B18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671E1"/>
    <w:multiLevelType w:val="multilevel"/>
    <w:tmpl w:val="1790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D0"/>
    <w:rsid w:val="000B1837"/>
    <w:rsid w:val="00492863"/>
    <w:rsid w:val="0089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6698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m2code">
    <w:name w:val="tm2code"/>
    <w:basedOn w:val="Policepardfaut"/>
    <w:rsid w:val="00896AD0"/>
  </w:style>
  <w:style w:type="character" w:customStyle="1" w:styleId="apple-converted-space">
    <w:name w:val="apple-converted-space"/>
    <w:basedOn w:val="Policepardfaut"/>
    <w:rsid w:val="00896AD0"/>
  </w:style>
  <w:style w:type="character" w:customStyle="1" w:styleId="surlignage">
    <w:name w:val="surlignage"/>
    <w:basedOn w:val="Policepardfaut"/>
    <w:rsid w:val="00896AD0"/>
  </w:style>
  <w:style w:type="character" w:customStyle="1" w:styleId="tm3code">
    <w:name w:val="tm3code"/>
    <w:basedOn w:val="Policepardfaut"/>
    <w:rsid w:val="00896AD0"/>
  </w:style>
  <w:style w:type="character" w:customStyle="1" w:styleId="tm4code">
    <w:name w:val="tm4code"/>
    <w:basedOn w:val="Policepardfaut"/>
    <w:rsid w:val="00896AD0"/>
  </w:style>
  <w:style w:type="character" w:customStyle="1" w:styleId="tm5code">
    <w:name w:val="tm5code"/>
    <w:basedOn w:val="Policepardfaut"/>
    <w:rsid w:val="00896AD0"/>
  </w:style>
  <w:style w:type="character" w:customStyle="1" w:styleId="tm6code">
    <w:name w:val="tm6code"/>
    <w:basedOn w:val="Policepardfaut"/>
    <w:rsid w:val="00896AD0"/>
  </w:style>
  <w:style w:type="character" w:customStyle="1" w:styleId="codelienart">
    <w:name w:val="codelienart"/>
    <w:basedOn w:val="Policepardfaut"/>
    <w:rsid w:val="00896AD0"/>
  </w:style>
  <w:style w:type="character" w:styleId="Lienhypertexte">
    <w:name w:val="Hyperlink"/>
    <w:basedOn w:val="Policepardfaut"/>
    <w:uiPriority w:val="99"/>
    <w:semiHidden/>
    <w:unhideWhenUsed/>
    <w:rsid w:val="00896A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m2code">
    <w:name w:val="tm2code"/>
    <w:basedOn w:val="Policepardfaut"/>
    <w:rsid w:val="00896AD0"/>
  </w:style>
  <w:style w:type="character" w:customStyle="1" w:styleId="apple-converted-space">
    <w:name w:val="apple-converted-space"/>
    <w:basedOn w:val="Policepardfaut"/>
    <w:rsid w:val="00896AD0"/>
  </w:style>
  <w:style w:type="character" w:customStyle="1" w:styleId="surlignage">
    <w:name w:val="surlignage"/>
    <w:basedOn w:val="Policepardfaut"/>
    <w:rsid w:val="00896AD0"/>
  </w:style>
  <w:style w:type="character" w:customStyle="1" w:styleId="tm3code">
    <w:name w:val="tm3code"/>
    <w:basedOn w:val="Policepardfaut"/>
    <w:rsid w:val="00896AD0"/>
  </w:style>
  <w:style w:type="character" w:customStyle="1" w:styleId="tm4code">
    <w:name w:val="tm4code"/>
    <w:basedOn w:val="Policepardfaut"/>
    <w:rsid w:val="00896AD0"/>
  </w:style>
  <w:style w:type="character" w:customStyle="1" w:styleId="tm5code">
    <w:name w:val="tm5code"/>
    <w:basedOn w:val="Policepardfaut"/>
    <w:rsid w:val="00896AD0"/>
  </w:style>
  <w:style w:type="character" w:customStyle="1" w:styleId="tm6code">
    <w:name w:val="tm6code"/>
    <w:basedOn w:val="Policepardfaut"/>
    <w:rsid w:val="00896AD0"/>
  </w:style>
  <w:style w:type="character" w:customStyle="1" w:styleId="codelienart">
    <w:name w:val="codelienart"/>
    <w:basedOn w:val="Policepardfaut"/>
    <w:rsid w:val="00896AD0"/>
  </w:style>
  <w:style w:type="character" w:styleId="Lienhypertexte">
    <w:name w:val="Hyperlink"/>
    <w:basedOn w:val="Policepardfaut"/>
    <w:uiPriority w:val="99"/>
    <w:semiHidden/>
    <w:unhideWhenUsed/>
    <w:rsid w:val="00896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legifrance.gouv.fr/affichCode.do;jsessionid=D1391285E6396D099CBD884DF15F0B0F.tpdila19v_1?idSectionTA=LEGISCTA000006173125&amp;cidTexte=LEGITEXT000006073189&amp;dateTexte=20170301" TargetMode="External"/><Relationship Id="rId12" Type="http://schemas.openxmlformats.org/officeDocument/2006/relationships/hyperlink" Target="https://www.legifrance.gouv.fr/affichCode.do;jsessionid=D1391285E6396D099CBD884DF15F0B0F.tpdila19v_1?idSectionTA=LEGISCTA000006173126&amp;cidTexte=LEGITEXT000006073189&amp;dateTexte=20170301" TargetMode="External"/><Relationship Id="rId13" Type="http://schemas.openxmlformats.org/officeDocument/2006/relationships/hyperlink" Target="https://www.legifrance.gouv.fr/affichCode.do;jsessionid=D1391285E6396D099CBD884DF15F0B0F.tpdila19v_1?idSectionTA=LEGISCTA000006172985&amp;cidTexte=LEGITEXT000006073189&amp;dateTexte=20170301" TargetMode="External"/><Relationship Id="rId14" Type="http://schemas.openxmlformats.org/officeDocument/2006/relationships/hyperlink" Target="https://www.legifrance.gouv.fr/affichCode.do;jsessionid=D1391285E6396D099CBD884DF15F0B0F.tpdila19v_1?idSectionTA=LEGISCTA000006172857&amp;cidTexte=LEGITEXT000006073189&amp;dateTexte=20170301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legifrance.gouv.fr/affichCode.do;jsessionid=D1391285E6396D099CBD884DF15F0B0F.tpdila19v_1?idSectionTA=LEGISCTA000006186232&amp;cidTexte=LEGITEXT000006073189&amp;dateTexte=20170301" TargetMode="External"/><Relationship Id="rId7" Type="http://schemas.openxmlformats.org/officeDocument/2006/relationships/hyperlink" Target="https://www.legifrance.gouv.fr/affichCode.do;jsessionid=D1391285E6396D099CBD884DF15F0B0F.tpdila19v_1?idSectionTA=LEGISCTA000006186254&amp;cidTexte=LEGITEXT000006073189&amp;dateTexte=20170301" TargetMode="External"/><Relationship Id="rId8" Type="http://schemas.openxmlformats.org/officeDocument/2006/relationships/hyperlink" Target="https://www.legifrance.gouv.fr/affichCode.do;jsessionid=D1391285E6396D099CBD884DF15F0B0F.tpdila19v_1?idSectionTA=LEGISCTA000006186255&amp;cidTexte=LEGITEXT000006073189&amp;dateTexte=20170301" TargetMode="External"/><Relationship Id="rId9" Type="http://schemas.openxmlformats.org/officeDocument/2006/relationships/hyperlink" Target="https://www.legifrance.gouv.fr/affichCode.do;jsessionid=D1391285E6396D099CBD884DF15F0B0F.tpdila19v_1?idSectionTA=LEGISCTA000006186256&amp;cidTexte=LEGITEXT000006073189&amp;dateTexte=20170301" TargetMode="External"/><Relationship Id="rId10" Type="http://schemas.openxmlformats.org/officeDocument/2006/relationships/hyperlink" Target="https://www.legifrance.gouv.fr/affichCode.do;jsessionid=D1391285E6396D099CBD884DF15F0B0F.tpdila19v_1?idSectionTA=LEGISCTA000006173124&amp;cidTexte=LEGITEXT000006073189&amp;dateTexte=20170301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2543</Characters>
  <Application>Microsoft Macintosh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de Tienda-Jouhet</dc:creator>
  <cp:keywords/>
  <dc:description/>
  <cp:lastModifiedBy>Véronique de Tienda-Jouhet</cp:lastModifiedBy>
  <cp:revision>1</cp:revision>
  <dcterms:created xsi:type="dcterms:W3CDTF">2017-03-01T10:49:00Z</dcterms:created>
  <dcterms:modified xsi:type="dcterms:W3CDTF">2017-03-01T10:50:00Z</dcterms:modified>
</cp:coreProperties>
</file>